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Oregon Poetry Association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2020 Conference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Engaging and Exciting 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LIVE Virtual Zoom Conference 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VIRTUALLY YOURS, WHEREVER YOU ARE! 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October 10th, 8.30 - 5.30 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ASHLEY TOLIVER, GUEST SPEAKER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2020 Winner of the Oregon Book Award in Poetry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Interactive fun, with workshops where you will come alive with 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talented poets and people from around the state and meet the President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the Executive Board members and vote on new officers 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>Hear OPAs Growth and News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>Workshops: New Ways to Learn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 a part of Oregon Poetry Association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Progress 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–</w:t>
      </w:r>
      <w:r>
        <w:rPr>
          <w:sz w:val="28"/>
          <w:szCs w:val="28"/>
          <w:rtl w:val="0"/>
          <w:lang w:val="en-US"/>
        </w:rPr>
        <w:t>Alive and Well in 2020</w:t>
      </w:r>
      <w:r>
        <w:rPr>
          <w:sz w:val="26"/>
          <w:szCs w:val="26"/>
          <w:rtl w:val="0"/>
          <w:lang w:val="en-US"/>
        </w:rPr>
        <w:t>—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–</w:t>
      </w:r>
      <w:r>
        <w:rPr>
          <w:sz w:val="28"/>
          <w:szCs w:val="28"/>
          <w:rtl w:val="0"/>
          <w:lang w:val="en-US"/>
        </w:rPr>
        <w:t>Conference fee is $55.00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Passwords and Technical Information sent by mail after registration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